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CCA" w:rsidRDefault="00AA1CCA" w:rsidP="00AA1C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A1CCA" w:rsidRDefault="00AA1CCA" w:rsidP="00AA1C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A1CCA" w:rsidRPr="005F7EBA" w:rsidRDefault="00AA1CCA" w:rsidP="00AA1CC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F7EBA">
        <w:rPr>
          <w:rFonts w:ascii="Times New Roman" w:hAnsi="Times New Roman" w:cs="Times New Roman"/>
          <w:u w:val="single"/>
        </w:rPr>
        <w:t>Enerji Piyasası Düzenleme Kurumundan:</w:t>
      </w:r>
    </w:p>
    <w:p w:rsidR="00AA1CCA" w:rsidRPr="00073A61" w:rsidRDefault="00AA1CCA" w:rsidP="00AA1C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A1CCA" w:rsidRPr="00073A61" w:rsidRDefault="00AA1CCA" w:rsidP="00AA1CC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A1CCA" w:rsidRPr="00073A61" w:rsidRDefault="00AA1CCA" w:rsidP="00AA1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3A61">
        <w:rPr>
          <w:rFonts w:ascii="Times New Roman" w:hAnsi="Times New Roman" w:cs="Times New Roman"/>
          <w:b/>
        </w:rPr>
        <w:t>KURUL KARARI</w:t>
      </w:r>
    </w:p>
    <w:p w:rsidR="00AA1CCA" w:rsidRPr="00073A61" w:rsidRDefault="00AA1CCA" w:rsidP="00AA1C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A1CCA" w:rsidRDefault="00AA1CCA" w:rsidP="00AA1CCA">
      <w:pPr>
        <w:spacing w:after="0" w:line="240" w:lineRule="auto"/>
        <w:rPr>
          <w:rFonts w:ascii="Times New Roman" w:hAnsi="Times New Roman" w:cs="Times New Roman"/>
        </w:rPr>
      </w:pPr>
      <w:r w:rsidRPr="00073A61">
        <w:rPr>
          <w:rFonts w:ascii="Times New Roman" w:hAnsi="Times New Roman" w:cs="Times New Roman"/>
          <w:b/>
        </w:rPr>
        <w:t xml:space="preserve">Karar </w:t>
      </w:r>
      <w:proofErr w:type="gramStart"/>
      <w:r w:rsidRPr="00073A61">
        <w:rPr>
          <w:rFonts w:ascii="Times New Roman" w:hAnsi="Times New Roman" w:cs="Times New Roman"/>
          <w:b/>
        </w:rPr>
        <w:t xml:space="preserve">No : </w:t>
      </w:r>
      <w:r w:rsidRPr="00073A6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1455</w:t>
      </w:r>
      <w:proofErr w:type="gramEnd"/>
      <w:r w:rsidRPr="00073A6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</w:t>
      </w:r>
      <w:r w:rsidRPr="00073A61">
        <w:rPr>
          <w:rFonts w:ascii="Times New Roman" w:hAnsi="Times New Roman" w:cs="Times New Roman"/>
        </w:rPr>
        <w:t xml:space="preserve">  </w:t>
      </w:r>
      <w:r w:rsidRPr="00073A61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             </w:t>
      </w:r>
      <w:bookmarkStart w:id="0" w:name="_GoBack"/>
      <w:bookmarkEnd w:id="0"/>
      <w:r w:rsidRPr="00073A61">
        <w:rPr>
          <w:rFonts w:ascii="Times New Roman" w:hAnsi="Times New Roman" w:cs="Times New Roman"/>
          <w:b/>
        </w:rPr>
        <w:t xml:space="preserve">                                                  Karar Tarihi : </w:t>
      </w:r>
      <w:r>
        <w:rPr>
          <w:rFonts w:ascii="Times New Roman" w:hAnsi="Times New Roman" w:cs="Times New Roman"/>
        </w:rPr>
        <w:t>15</w:t>
      </w:r>
      <w:r w:rsidRPr="00073A61">
        <w:rPr>
          <w:rFonts w:ascii="Times New Roman" w:hAnsi="Times New Roman" w:cs="Times New Roman"/>
        </w:rPr>
        <w:t>/12/202</w:t>
      </w:r>
      <w:r>
        <w:rPr>
          <w:rFonts w:ascii="Times New Roman" w:hAnsi="Times New Roman" w:cs="Times New Roman"/>
        </w:rPr>
        <w:t>2</w:t>
      </w:r>
    </w:p>
    <w:p w:rsidR="00AA1CCA" w:rsidRPr="00073A61" w:rsidRDefault="00AA1CCA" w:rsidP="00AA1CCA">
      <w:pPr>
        <w:spacing w:after="0" w:line="240" w:lineRule="auto"/>
        <w:rPr>
          <w:rFonts w:ascii="Times New Roman" w:hAnsi="Times New Roman" w:cs="Times New Roman"/>
          <w:b/>
        </w:rPr>
      </w:pPr>
    </w:p>
    <w:p w:rsidR="00AA1CCA" w:rsidRPr="004B00E1" w:rsidRDefault="00AA1CCA" w:rsidP="00AA1CCA">
      <w:pPr>
        <w:pStyle w:val="ListeParagra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lang w:eastAsia="tr-TR"/>
        </w:rPr>
      </w:pPr>
      <w:proofErr w:type="gramStart"/>
      <w:r w:rsidRPr="00073A61">
        <w:rPr>
          <w:rFonts w:ascii="Times New Roman" w:hAnsi="Times New Roman" w:cs="Times New Roman"/>
        </w:rPr>
        <w:t xml:space="preserve">Enerji Piyasası Düzenleme Kurulunun </w:t>
      </w:r>
      <w:r>
        <w:rPr>
          <w:rFonts w:ascii="Times New Roman" w:hAnsi="Times New Roman" w:cs="Times New Roman"/>
        </w:rPr>
        <w:t>15</w:t>
      </w:r>
      <w:r w:rsidRPr="00073A61">
        <w:rPr>
          <w:rFonts w:ascii="Times New Roman" w:hAnsi="Times New Roman" w:cs="Times New Roman"/>
        </w:rPr>
        <w:t>/12/202</w:t>
      </w:r>
      <w:r>
        <w:rPr>
          <w:rFonts w:ascii="Times New Roman" w:hAnsi="Times New Roman" w:cs="Times New Roman"/>
        </w:rPr>
        <w:t>2</w:t>
      </w:r>
      <w:r w:rsidRPr="00073A61">
        <w:rPr>
          <w:rFonts w:ascii="Times New Roman" w:hAnsi="Times New Roman" w:cs="Times New Roman"/>
        </w:rPr>
        <w:t xml:space="preserve"> tarihli toplantısında; </w:t>
      </w:r>
      <w:r w:rsidRPr="004B00E1">
        <w:rPr>
          <w:rFonts w:ascii="Times New Roman" w:eastAsia="Times New Roman" w:hAnsi="Times New Roman"/>
          <w:b/>
          <w:noProof/>
          <w:lang w:eastAsia="tr-TR"/>
        </w:rPr>
        <w:t>AKHİSAR ORGANİZE SANAYİ BÖLGESİ</w:t>
      </w:r>
      <w:r w:rsidRPr="004B00E1">
        <w:rPr>
          <w:rFonts w:ascii="Times New Roman" w:eastAsia="Times New Roman" w:hAnsi="Times New Roman"/>
          <w:noProof/>
          <w:lang w:eastAsia="tr-TR"/>
        </w:rPr>
        <w:t xml:space="preserve">’nin; </w:t>
      </w:r>
      <w:r w:rsidRPr="004B00E1">
        <w:rPr>
          <w:rFonts w:ascii="Times New Roman" w:eastAsia="Times New Roman" w:hAnsi="Times New Roman"/>
          <w:lang w:eastAsia="tr-TR"/>
        </w:rPr>
        <w:t xml:space="preserve">14/3/2014 tarihli ve 28941 sayılı Resmî </w:t>
      </w:r>
      <w:proofErr w:type="spellStart"/>
      <w:r w:rsidRPr="004B00E1">
        <w:rPr>
          <w:rFonts w:ascii="Times New Roman" w:eastAsia="Times New Roman" w:hAnsi="Times New Roman"/>
          <w:lang w:eastAsia="tr-TR"/>
        </w:rPr>
        <w:t>Gazete’de</w:t>
      </w:r>
      <w:proofErr w:type="spellEnd"/>
      <w:r w:rsidRPr="004B00E1">
        <w:rPr>
          <w:rFonts w:ascii="Times New Roman" w:eastAsia="Times New Roman" w:hAnsi="Times New Roman"/>
          <w:lang w:eastAsia="tr-TR"/>
        </w:rPr>
        <w:t xml:space="preserve"> yayımlanarak yürürlüğe giren Organize Sanayi Bölgelerinin Elektrik Piyasası Faaliyetlerine İlişkin Yönetmelik’in 17 </w:t>
      </w:r>
      <w:proofErr w:type="spellStart"/>
      <w:r w:rsidRPr="004B00E1">
        <w:rPr>
          <w:rFonts w:ascii="Times New Roman" w:eastAsia="Times New Roman" w:hAnsi="Times New Roman"/>
          <w:lang w:eastAsia="tr-TR"/>
        </w:rPr>
        <w:t>nci</w:t>
      </w:r>
      <w:proofErr w:type="spellEnd"/>
      <w:r w:rsidRPr="004B00E1">
        <w:rPr>
          <w:rFonts w:ascii="Times New Roman" w:eastAsia="Times New Roman" w:hAnsi="Times New Roman"/>
          <w:lang w:eastAsia="tr-TR"/>
        </w:rPr>
        <w:t xml:space="preserve"> maddesinin birinci fıkrası uyarınca, organize sanayi bölgesi onaylı sınırları içerisindeki katılımcılarına 2023 yılı için uygulanmak üzere dağıtım bedelinin, </w:t>
      </w:r>
      <w:proofErr w:type="gramEnd"/>
    </w:p>
    <w:p w:rsidR="00AA1CCA" w:rsidRPr="004B00E1" w:rsidRDefault="00AA1CCA" w:rsidP="00AA1CCA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jc w:val="center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  <w:gridCol w:w="1365"/>
        <w:gridCol w:w="2019"/>
      </w:tblGrid>
      <w:tr w:rsidR="00AA1CCA" w:rsidRPr="004B00E1" w:rsidTr="00517D2B">
        <w:trPr>
          <w:jc w:val="center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B2A1C7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TÜKETİCİLER İÇİN DAĞITIM BEDELİ</w:t>
            </w:r>
          </w:p>
        </w:tc>
      </w:tr>
      <w:tr w:rsidR="00AA1CCA" w:rsidRPr="004B00E1" w:rsidTr="00517D2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TT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kWh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AG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kWh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OG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kWh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ÇT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kWh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Güç Bedeli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/kW/Ay)</w:t>
            </w:r>
          </w:p>
        </w:tc>
        <w:tc>
          <w:tcPr>
            <w:tcW w:w="2019" w:type="dxa"/>
            <w:tcBorders>
              <w:left w:val="nil"/>
              <w:right w:val="single" w:sz="4" w:space="0" w:color="auto"/>
            </w:tcBorders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Güç Aşım Bedeli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/kW/Ay)</w:t>
            </w:r>
          </w:p>
        </w:tc>
      </w:tr>
      <w:tr w:rsidR="00AA1CCA" w:rsidRPr="004B00E1" w:rsidTr="00517D2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 xml:space="preserve">  11,9330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10,7397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600,0000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1200,0000</w:t>
            </w:r>
          </w:p>
        </w:tc>
      </w:tr>
    </w:tbl>
    <w:p w:rsidR="00AA1CCA" w:rsidRPr="004B00E1" w:rsidRDefault="00AA1CCA" w:rsidP="00AA1C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jc w:val="center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  <w:gridCol w:w="1365"/>
        <w:gridCol w:w="2019"/>
      </w:tblGrid>
      <w:tr w:rsidR="00AA1CCA" w:rsidRPr="004B00E1" w:rsidTr="00517D2B">
        <w:trPr>
          <w:jc w:val="center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B2A1C7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SANAYİ HARİCİ TÜKETİCİLER İÇİN DAĞITIM BEDELİ</w:t>
            </w:r>
          </w:p>
        </w:tc>
      </w:tr>
      <w:tr w:rsidR="00AA1CCA" w:rsidRPr="004B00E1" w:rsidTr="00517D2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TT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kWh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AG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kWh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OG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kWh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ÇT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kWh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Güç Bedeli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/kW/Ay)</w:t>
            </w:r>
          </w:p>
        </w:tc>
        <w:tc>
          <w:tcPr>
            <w:tcW w:w="2019" w:type="dxa"/>
            <w:tcBorders>
              <w:left w:val="nil"/>
              <w:right w:val="single" w:sz="4" w:space="0" w:color="auto"/>
            </w:tcBorders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Güç Aşım Bedeli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/kW/Ay)</w:t>
            </w:r>
          </w:p>
        </w:tc>
      </w:tr>
      <w:tr w:rsidR="00AA1CCA" w:rsidRPr="004B00E1" w:rsidTr="00517D2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 xml:space="preserve">   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0,0000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0,0000</w:t>
            </w:r>
          </w:p>
        </w:tc>
      </w:tr>
    </w:tbl>
    <w:p w:rsidR="00AA1CCA" w:rsidRPr="004B00E1" w:rsidRDefault="00AA1CCA" w:rsidP="00AA1C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jc w:val="center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158"/>
        <w:gridCol w:w="1158"/>
        <w:gridCol w:w="1158"/>
        <w:gridCol w:w="1158"/>
        <w:gridCol w:w="1365"/>
        <w:gridCol w:w="2019"/>
      </w:tblGrid>
      <w:tr w:rsidR="00AA1CCA" w:rsidRPr="004B00E1" w:rsidTr="00517D2B">
        <w:trPr>
          <w:jc w:val="center"/>
        </w:trPr>
        <w:tc>
          <w:tcPr>
            <w:tcW w:w="765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B2A1C7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ÜRETİCİLER İÇİN DAĞITIM BEDELİ</w:t>
            </w:r>
          </w:p>
        </w:tc>
      </w:tr>
      <w:tr w:rsidR="00AA1CCA" w:rsidRPr="004B00E1" w:rsidTr="00517D2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TT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kWh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AG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kWh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OG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kWh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ÇT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kWh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)</w:t>
            </w:r>
          </w:p>
        </w:tc>
        <w:tc>
          <w:tcPr>
            <w:tcW w:w="0" w:type="auto"/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Güç Bedeli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/kW/Ay)</w:t>
            </w:r>
          </w:p>
        </w:tc>
        <w:tc>
          <w:tcPr>
            <w:tcW w:w="2019" w:type="dxa"/>
            <w:tcBorders>
              <w:left w:val="nil"/>
              <w:right w:val="single" w:sz="4" w:space="0" w:color="auto"/>
            </w:tcBorders>
            <w:shd w:val="clear" w:color="auto" w:fill="E5DFEC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Güç Aşım Bedeli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lang w:eastAsia="tr-TR"/>
              </w:rPr>
              <w:t>/kW/Ay)</w:t>
            </w:r>
          </w:p>
        </w:tc>
      </w:tr>
      <w:tr w:rsidR="00AA1CCA" w:rsidRPr="004B00E1" w:rsidTr="00517D2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 xml:space="preserve">  11,9330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0,0000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0,0000</w:t>
            </w:r>
          </w:p>
        </w:tc>
        <w:tc>
          <w:tcPr>
            <w:tcW w:w="2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noProof/>
                <w:lang w:eastAsia="tr-TR"/>
              </w:rPr>
              <w:t xml:space="preserve">   0,0000</w:t>
            </w:r>
          </w:p>
        </w:tc>
      </w:tr>
    </w:tbl>
    <w:p w:rsidR="00AA1CCA" w:rsidRPr="004B00E1" w:rsidRDefault="00AA1CCA" w:rsidP="00AA1C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jc w:val="center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7650"/>
      </w:tblGrid>
      <w:tr w:rsidR="00AA1CCA" w:rsidRPr="004B00E1" w:rsidTr="00517D2B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AA1CCA" w:rsidRPr="004B00E1" w:rsidTr="00517D2B">
        <w:trPr>
          <w:jc w:val="center"/>
        </w:trPr>
        <w:tc>
          <w:tcPr>
            <w:tcW w:w="7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Emreamade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Kapasite Bedeli</w:t>
            </w:r>
          </w:p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spellStart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Kr</w:t>
            </w:r>
            <w:proofErr w:type="spellEnd"/>
            <w:r w:rsidRPr="004B00E1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/kW/Ay)</w:t>
            </w:r>
          </w:p>
        </w:tc>
      </w:tr>
      <w:tr w:rsidR="00AA1CCA" w:rsidRPr="004B00E1" w:rsidTr="00517D2B">
        <w:trPr>
          <w:jc w:val="center"/>
        </w:trPr>
        <w:tc>
          <w:tcPr>
            <w:tcW w:w="7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CA" w:rsidRPr="004B00E1" w:rsidRDefault="00AA1CCA" w:rsidP="0051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B00E1">
              <w:rPr>
                <w:rFonts w:ascii="Times New Roman" w:eastAsia="Times New Roman" w:hAnsi="Times New Roman" w:cs="Times New Roman"/>
                <w:b/>
                <w:bCs/>
                <w:noProof/>
                <w:lang w:eastAsia="tr-TR"/>
              </w:rPr>
              <w:t xml:space="preserve"> 897,5020</w:t>
            </w:r>
          </w:p>
        </w:tc>
      </w:tr>
    </w:tbl>
    <w:p w:rsidR="00AA1CCA" w:rsidRPr="00073A61" w:rsidRDefault="00AA1CCA" w:rsidP="00AA1CCA">
      <w:pPr>
        <w:pStyle w:val="ListeParagraf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</w:p>
    <w:p w:rsidR="00AA1CCA" w:rsidRPr="00073A61" w:rsidRDefault="00AA1CCA" w:rsidP="00AA1CCA">
      <w:pPr>
        <w:tabs>
          <w:tab w:val="left" w:pos="851"/>
        </w:tabs>
        <w:spacing w:after="0" w:line="240" w:lineRule="auto"/>
        <w:ind w:left="708" w:hanging="141"/>
        <w:jc w:val="both"/>
        <w:rPr>
          <w:rFonts w:ascii="Times New Roman" w:hAnsi="Times New Roman" w:cs="Times New Roman"/>
        </w:rPr>
      </w:pPr>
      <w:proofErr w:type="gramStart"/>
      <w:r w:rsidRPr="00073A61">
        <w:rPr>
          <w:rFonts w:ascii="Times New Roman" w:hAnsi="Times New Roman" w:cs="Times New Roman"/>
        </w:rPr>
        <w:t>olarak</w:t>
      </w:r>
      <w:proofErr w:type="gramEnd"/>
      <w:r w:rsidRPr="00073A61">
        <w:rPr>
          <w:rFonts w:ascii="Times New Roman" w:hAnsi="Times New Roman" w:cs="Times New Roman"/>
        </w:rPr>
        <w:t xml:space="preserve"> onaylanmasına,</w:t>
      </w:r>
    </w:p>
    <w:p w:rsidR="00AA1CCA" w:rsidRPr="00073A61" w:rsidRDefault="00AA1CCA" w:rsidP="00AA1CCA">
      <w:pPr>
        <w:pStyle w:val="ListeParagra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</w:rPr>
      </w:pPr>
    </w:p>
    <w:p w:rsidR="00AA1CCA" w:rsidRPr="00073A61" w:rsidRDefault="00AA1CCA" w:rsidP="00AA1CC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073A61">
        <w:rPr>
          <w:rFonts w:ascii="Times New Roman" w:hAnsi="Times New Roman" w:cs="Times New Roman"/>
        </w:rPr>
        <w:t>karar</w:t>
      </w:r>
      <w:proofErr w:type="gramEnd"/>
      <w:r w:rsidRPr="00073A61">
        <w:rPr>
          <w:rFonts w:ascii="Times New Roman" w:hAnsi="Times New Roman" w:cs="Times New Roman"/>
        </w:rPr>
        <w:t xml:space="preserve"> verilmiştir.</w:t>
      </w:r>
    </w:p>
    <w:p w:rsidR="00B9038C" w:rsidRDefault="00AA1CCA"/>
    <w:sectPr w:rsidR="00B9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58"/>
    <w:rsid w:val="00912BDB"/>
    <w:rsid w:val="00943958"/>
    <w:rsid w:val="00AA1CCA"/>
    <w:rsid w:val="00BB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F1AD"/>
  <w15:chartTrackingRefBased/>
  <w15:docId w15:val="{84B1795D-183E-420E-9F5F-4C0F39F1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CC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1.1.1. Turkish MERCADOS"/>
    <w:basedOn w:val="Normal"/>
    <w:link w:val="ListeParagrafChar"/>
    <w:uiPriority w:val="34"/>
    <w:qFormat/>
    <w:rsid w:val="00AA1CCA"/>
    <w:pPr>
      <w:ind w:left="720"/>
      <w:contextualSpacing/>
    </w:pPr>
  </w:style>
  <w:style w:type="character" w:customStyle="1" w:styleId="ListeParagrafChar">
    <w:name w:val="Liste Paragraf Char"/>
    <w:aliases w:val="1.1.1. Turkish MERCADOS Char"/>
    <w:link w:val="ListeParagraf"/>
    <w:uiPriority w:val="34"/>
    <w:locked/>
    <w:rsid w:val="00AA1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Nilgün Yalçın</dc:creator>
  <cp:keywords/>
  <dc:description/>
  <cp:lastModifiedBy>Nilgün Yalçın</cp:lastModifiedBy>
  <cp:revision>2</cp:revision>
  <dcterms:created xsi:type="dcterms:W3CDTF">2023-01-17T07:41:00Z</dcterms:created>
  <dcterms:modified xsi:type="dcterms:W3CDTF">2023-01-17T07:41:00Z</dcterms:modified>
</cp:coreProperties>
</file>